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4BB2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Awareness of radiation risks by referrers and practitioners justifying radiological examinations</w:t>
      </w:r>
    </w:p>
    <w:p w14:paraId="775EBBE9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085BC818" w14:textId="77777777" w:rsidR="00B37E93" w:rsidRDefault="000C2884">
      <w:pPr>
        <w:pStyle w:val="NormalWeb"/>
      </w:pPr>
      <w:r>
        <w:t>An audit to assess knowledge about radiation risk amongst personnel performing IR(ME)R practitioner functions.</w:t>
      </w:r>
    </w:p>
    <w:p w14:paraId="4417EA4E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648484E8" w14:textId="5122C805" w:rsidR="00B37E93" w:rsidRDefault="000C2884">
      <w:pPr>
        <w:pStyle w:val="NormalWeb"/>
      </w:pPr>
      <w:proofErr w:type="gramStart"/>
      <w:r>
        <w:t>In order to</w:t>
      </w:r>
      <w:proofErr w:type="gramEnd"/>
      <w:r>
        <w:t xml:space="preserve"> perform IR(ME)R justification appropriately as specified in the legislation and subsequent guidance, practitioners or personnel </w:t>
      </w:r>
      <w:r w:rsidR="0061045C">
        <w:t xml:space="preserve">entitled </w:t>
      </w:r>
      <w:r>
        <w:t>to perform practitioner functions must be trained. Staff cannot perform assessment of relative risks without maintaining knowledge of radiation risks.</w:t>
      </w:r>
    </w:p>
    <w:p w14:paraId="4AEB9890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4B48B5D0" w14:textId="77777777" w:rsidR="00B37E93" w:rsidRDefault="000C2884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3F73BCD0" w14:textId="77777777" w:rsidR="00B37E93" w:rsidRDefault="000C2884">
      <w:pPr>
        <w:pStyle w:val="NormalWeb"/>
      </w:pPr>
      <w:r>
        <w:t>All IR(ME)R practitioners and those performing delegated practitioner functions should be able to demonstrate:</w:t>
      </w:r>
    </w:p>
    <w:p w14:paraId="561F3FA4" w14:textId="77777777" w:rsidR="00B37E93" w:rsidRDefault="000C2884">
      <w:pPr>
        <w:pStyle w:val="NormalWeb"/>
      </w:pPr>
      <w:r>
        <w:t>1) Knowledge of effective radiation doses resulting from four relevant radiological examinations</w:t>
      </w:r>
    </w:p>
    <w:p w14:paraId="07D96CBE" w14:textId="77777777" w:rsidR="00B37E93" w:rsidRDefault="000C2884">
      <w:pPr>
        <w:pStyle w:val="NormalWeb"/>
      </w:pPr>
      <w:r>
        <w:t>2) The approximate added risk of malignancy of these radiological procedures</w:t>
      </w:r>
    </w:p>
    <w:p w14:paraId="3B2D79A9" w14:textId="77777777" w:rsidR="00B37E93" w:rsidRDefault="000C2884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5AA10A8E" w14:textId="77777777" w:rsidR="00B37E93" w:rsidRDefault="000C2884">
      <w:pPr>
        <w:pStyle w:val="NormalWeb"/>
      </w:pPr>
      <w:r>
        <w:t>100% of staff possess the requisite knowledge.</w:t>
      </w:r>
    </w:p>
    <w:p w14:paraId="6F1ED255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Assess local practice</w:t>
      </w:r>
    </w:p>
    <w:p w14:paraId="0C78048A" w14:textId="77777777" w:rsidR="00B37E93" w:rsidRDefault="000C2884">
      <w:pPr>
        <w:pStyle w:val="Heading3"/>
        <w:rPr>
          <w:rFonts w:eastAsia="Times New Roman"/>
        </w:rPr>
      </w:pPr>
      <w:r>
        <w:rPr>
          <w:rFonts w:eastAsia="Times New Roman"/>
        </w:rPr>
        <w:t>Indicators</w:t>
      </w:r>
    </w:p>
    <w:p w14:paraId="7352C6C5" w14:textId="77777777" w:rsidR="00B37E93" w:rsidRDefault="000C2884">
      <w:pPr>
        <w:pStyle w:val="NormalWeb"/>
      </w:pPr>
      <w:r>
        <w:t>Proportion of staff who can correctly answer a questionnaire on the relevant radiation doses of four relevant radiological procedures and can give reasonable estimates of the increased relative risk of the associated radiation dose.</w:t>
      </w:r>
    </w:p>
    <w:p w14:paraId="49A06CF3" w14:textId="77777777" w:rsidR="00B37E93" w:rsidRDefault="000C2884">
      <w:pPr>
        <w:pStyle w:val="Heading3"/>
        <w:rPr>
          <w:rFonts w:eastAsia="Times New Roman"/>
        </w:rPr>
      </w:pPr>
      <w:r>
        <w:rPr>
          <w:rFonts w:eastAsia="Times New Roman"/>
        </w:rPr>
        <w:t>Data items to be collected</w:t>
      </w:r>
    </w:p>
    <w:p w14:paraId="2A808A02" w14:textId="77777777" w:rsidR="00B37E93" w:rsidRDefault="000C2884">
      <w:pPr>
        <w:pStyle w:val="NormalWeb"/>
      </w:pPr>
      <w:r>
        <w:t>Answers to questions on dose and risk.</w:t>
      </w:r>
    </w:p>
    <w:p w14:paraId="203B3F80" w14:textId="77777777" w:rsidR="00B37E93" w:rsidRDefault="000C2884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1BFFE400" w14:textId="77777777" w:rsidR="00B37E93" w:rsidRDefault="000C2884">
      <w:pPr>
        <w:pStyle w:val="NormalWeb"/>
      </w:pPr>
      <w:r>
        <w:t>Typical number might be 15 staff acting as IR(ME)R practitioners.</w:t>
      </w:r>
    </w:p>
    <w:p w14:paraId="42DA86F4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Suggestions for change if target not met</w:t>
      </w:r>
    </w:p>
    <w:p w14:paraId="547805E6" w14:textId="77777777" w:rsidR="00B37E93" w:rsidRDefault="000C2884">
      <w:pPr>
        <w:pStyle w:val="NormalWeb"/>
      </w:pPr>
      <w:r>
        <w:t>- Staff education as a continuous process</w:t>
      </w:r>
    </w:p>
    <w:p w14:paraId="1B87186E" w14:textId="77777777" w:rsidR="00B37E93" w:rsidRDefault="000C2884">
      <w:pPr>
        <w:pStyle w:val="NormalWeb"/>
      </w:pPr>
      <w:r>
        <w:t>- Use of a dose/risk chart similar to table 2 in iRefer -  Justifying and Optimising Dose - will help with local education - this could be displayed as a poster or an online reminder depending on local practice</w:t>
      </w:r>
    </w:p>
    <w:p w14:paraId="28C0FF91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0F191BB8" w14:textId="77777777" w:rsidR="00B37E93" w:rsidRDefault="000C2884">
      <w:pPr>
        <w:pStyle w:val="NormalWeb"/>
      </w:pPr>
      <w:r>
        <w:t>- Questionnaire</w:t>
      </w:r>
    </w:p>
    <w:p w14:paraId="5149249B" w14:textId="77777777" w:rsidR="00B37E93" w:rsidRDefault="000C2884">
      <w:pPr>
        <w:pStyle w:val="NormalWeb"/>
      </w:pPr>
      <w:r>
        <w:t>- Excel or similar spreadsheet to tabulate responses and analyse statistics</w:t>
      </w:r>
    </w:p>
    <w:p w14:paraId="7E0E2213" w14:textId="77777777" w:rsidR="00B37E93" w:rsidRDefault="000C2884">
      <w:pPr>
        <w:pStyle w:val="NormalWeb"/>
      </w:pPr>
      <w:r>
        <w:t>- Five hours work</w:t>
      </w:r>
    </w:p>
    <w:p w14:paraId="7F3E35F3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10A89FA5" w14:textId="77777777" w:rsidR="00B37E93" w:rsidRDefault="000C2884">
      <w:pPr>
        <w:pStyle w:val="NormalWeb"/>
        <w:numPr>
          <w:ilvl w:val="0"/>
          <w:numId w:val="1"/>
        </w:numPr>
      </w:pPr>
      <w:r>
        <w:t>The Ionising Radiation (Medical Exposure) Regulations 2017  http://www.legislation.gov.uk/uksi/2017/1322/introduction/made</w:t>
      </w:r>
    </w:p>
    <w:p w14:paraId="300133DD" w14:textId="77777777" w:rsidR="00B37E93" w:rsidRDefault="000C2884">
      <w:pPr>
        <w:pStyle w:val="NormalWeb"/>
        <w:numPr>
          <w:ilvl w:val="0"/>
          <w:numId w:val="1"/>
        </w:numPr>
      </w:pPr>
      <w:r>
        <w:t>The Ionising Radiation (Medical Exposure) Regulations 2017 Explanatory Memorandum to IRMER 2017</w:t>
      </w:r>
    </w:p>
    <w:p w14:paraId="392F8498" w14:textId="77777777" w:rsidR="00B37E93" w:rsidRDefault="000C2884">
      <w:pPr>
        <w:pStyle w:val="NormalWeb"/>
        <w:numPr>
          <w:ilvl w:val="0"/>
          <w:numId w:val="1"/>
        </w:numPr>
      </w:pPr>
      <w:r>
        <w:t>RCR iRefer: making the best use of clinical radiology. London. RCR 2017. http://guidelines.irefer.org.uk/about/#Abt4</w:t>
      </w:r>
    </w:p>
    <w:p w14:paraId="6EFE96DA" w14:textId="77777777" w:rsidR="00B37E93" w:rsidRDefault="000C2884">
      <w:pPr>
        <w:pStyle w:val="NormalWeb"/>
        <w:numPr>
          <w:ilvl w:val="0"/>
          <w:numId w:val="1"/>
        </w:numPr>
      </w:pPr>
      <w:r>
        <w:t>Mettler F, Huda W, Yoshizumi T, Mahesh M. Effective doses in radiology and diagnostic nuclear medicine: a catalog. Radiology. 2008;248:254–263</w:t>
      </w:r>
    </w:p>
    <w:p w14:paraId="37EE2F05" w14:textId="77777777" w:rsidR="00B37E93" w:rsidRDefault="000C2884">
      <w:pPr>
        <w:pStyle w:val="NormalWeb"/>
        <w:numPr>
          <w:ilvl w:val="0"/>
          <w:numId w:val="1"/>
        </w:numPr>
      </w:pPr>
      <w:r>
        <w:t xml:space="preserve">Lee, RKL Chu, WCW Graham, CA Rainer, TH Ahuja, AT Knowledge of radiation exposure in common radiological investigations: a comparison between radiologists and non-radiologists. Emerg Med J. 2012 ;29(4):306-8. </w:t>
      </w:r>
      <w:r>
        <w:rPr>
          <w:u w:val="single"/>
        </w:rPr>
        <w:t>http://emj.bmj.com/content/29/4/306.full.pdf</w:t>
      </w:r>
      <w:r>
        <w:t> </w:t>
      </w:r>
    </w:p>
    <w:p w14:paraId="478E962D" w14:textId="77777777" w:rsidR="00B37E93" w:rsidRDefault="000C2884">
      <w:pPr>
        <w:pStyle w:val="NormalWeb"/>
        <w:numPr>
          <w:ilvl w:val="0"/>
          <w:numId w:val="1"/>
        </w:numPr>
      </w:pPr>
      <w:r>
        <w:t xml:space="preserve">Hart et al 2010 Frequency and collective dose for medical and dental X-ray examinations in the UK, 2008 </w:t>
      </w:r>
      <w:r>
        <w:rPr>
          <w:u w:val="single"/>
        </w:rPr>
        <w:t>http://www.hpa.org.uk/webc/hpawebfile/hpaweb_c/1287148001641</w:t>
      </w:r>
    </w:p>
    <w:p w14:paraId="44242180" w14:textId="77777777" w:rsidR="00B37E93" w:rsidRDefault="000C2884">
      <w:pPr>
        <w:pStyle w:val="NormalWeb"/>
        <w:numPr>
          <w:ilvl w:val="0"/>
          <w:numId w:val="1"/>
        </w:numPr>
      </w:pPr>
      <w:r>
        <w:t xml:space="preserve">Wall et al 2011 Radiation Risks from Medical X-ray Examinations as a Function of the Age and Sex of the Patient </w:t>
      </w:r>
      <w:r>
        <w:rPr>
          <w:u w:val="single"/>
        </w:rPr>
        <w:t>http://www.hpa.org.uk/webc/hpawebfile/hpaweb_c/1317131197532</w:t>
      </w:r>
      <w:r>
        <w:t> </w:t>
      </w:r>
    </w:p>
    <w:p w14:paraId="39260D95" w14:textId="77777777" w:rsidR="00B37E93" w:rsidRDefault="000C2884">
      <w:pPr>
        <w:pStyle w:val="NormalWeb"/>
        <w:numPr>
          <w:ilvl w:val="0"/>
          <w:numId w:val="1"/>
        </w:numPr>
      </w:pPr>
      <w:r>
        <w:t> S Shiralkar, A Rennie, M Snow, R B Galland, M H Lewis, K Gower-Thomas, Doctors’ knowledge of radiation exposure: questionnaire study. BMJ 2003;327:371–2. https://www.ncbi.nlm.nih.gov/pmc/articles/PMC175104/</w:t>
      </w:r>
    </w:p>
    <w:p w14:paraId="03E3DE0E" w14:textId="6E48B634" w:rsidR="00B37E93" w:rsidRDefault="000C2884">
      <w:pPr>
        <w:pStyle w:val="NormalWeb"/>
        <w:numPr>
          <w:ilvl w:val="0"/>
          <w:numId w:val="1"/>
        </w:numPr>
      </w:pPr>
      <w:r>
        <w:t xml:space="preserve"> J A Soye, A Paterson. A survey of awareness of radiation dose among health professionals in Northern Ireland. Br J Radiol. 2008 Sep;81(969):725-9. </w:t>
      </w:r>
      <w:hyperlink r:id="rId8" w:history="1">
        <w:r w:rsidR="0061045C" w:rsidRPr="00EA46DF">
          <w:rPr>
            <w:rStyle w:val="Hyperlink"/>
          </w:rPr>
          <w:t>https://www.birpublications.org/doi/abs/10.1259/bjr/94101717</w:t>
        </w:r>
      </w:hyperlink>
    </w:p>
    <w:p w14:paraId="57498E76" w14:textId="61FC2E79" w:rsidR="0061045C" w:rsidRDefault="0061045C">
      <w:pPr>
        <w:pStyle w:val="NormalWeb"/>
        <w:numPr>
          <w:ilvl w:val="0"/>
          <w:numId w:val="1"/>
        </w:numPr>
      </w:pPr>
      <w:r w:rsidRPr="0061045C">
        <w:t>Dauda AM, Ozoh JO, Towobola OA. Medical doctors' awareness of radiation exposure in diagnostic radiology investigations in a South African academic institution. SA J Radiol. 2019 Apr 30;23(1):1707. doi: 10.4102/sajr.v23i1.1707. PMID: 31754532; PMCID: PMC6837774.</w:t>
      </w:r>
      <w:r>
        <w:t xml:space="preserve"> </w:t>
      </w:r>
      <w:r w:rsidRPr="0061045C">
        <w:t>https://www.ncbi.nlm.nih.gov/pmc/articles/PMC6837774/</w:t>
      </w:r>
      <w:r>
        <w:t xml:space="preserve"> </w:t>
      </w:r>
    </w:p>
    <w:p w14:paraId="57CA7927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Editors Comments</w:t>
      </w:r>
    </w:p>
    <w:p w14:paraId="0D96C49B" w14:textId="77777777" w:rsidR="00B37E93" w:rsidRDefault="000C2884">
      <w:pPr>
        <w:pStyle w:val="NormalWeb"/>
      </w:pPr>
      <w:r>
        <w:t>- Sample questions could be tailored to the staff group being targeted, with a mix of radiological examination appropriate to the type of referral</w:t>
      </w:r>
    </w:p>
    <w:p w14:paraId="6C013650" w14:textId="77777777" w:rsidR="00B37E93" w:rsidRDefault="000C2884">
      <w:pPr>
        <w:pStyle w:val="NormalWeb"/>
      </w:pPr>
      <w:r>
        <w:t>- Can also be used to assess those being trained as IR(ME)R practitioners</w:t>
      </w:r>
    </w:p>
    <w:p w14:paraId="058D8A43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21FDCEBC" w14:textId="5A925853" w:rsidR="00B37E93" w:rsidRDefault="000C2884">
      <w:pPr>
        <w:rPr>
          <w:rFonts w:eastAsia="Times New Roman"/>
        </w:rPr>
      </w:pPr>
      <w:r>
        <w:rPr>
          <w:rFonts w:eastAsia="Times New Roman"/>
        </w:rPr>
        <w:t xml:space="preserve">From Submissions by K A Duncan, C Leung, V Rachapalli, S Jenkins and D Tennant. Updated by D Remedios </w:t>
      </w:r>
      <w:r w:rsidR="0061045C">
        <w:rPr>
          <w:rFonts w:eastAsia="Times New Roman"/>
        </w:rPr>
        <w:t>2023</w:t>
      </w:r>
    </w:p>
    <w:p w14:paraId="20F0C416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4F9F45E6" w14:textId="77777777" w:rsidR="00B37E93" w:rsidRDefault="000C2884">
      <w:pPr>
        <w:pStyle w:val="Heading2"/>
        <w:rPr>
          <w:rFonts w:eastAsia="Times New Roman"/>
        </w:rPr>
      </w:pPr>
      <w:r>
        <w:rPr>
          <w:rFonts w:eastAsia="Times New Roman"/>
        </w:rPr>
        <w:t>Published Date</w:t>
      </w:r>
    </w:p>
    <w:p w14:paraId="49046157" w14:textId="42C7A0A9" w:rsidR="006652A4" w:rsidRDefault="000C2884">
      <w:pPr>
        <w:rPr>
          <w:rFonts w:eastAsia="Times New Roman"/>
        </w:rPr>
      </w:pPr>
      <w:r>
        <w:rPr>
          <w:rFonts w:eastAsia="Times New Roman"/>
        </w:rPr>
        <w:t xml:space="preserve">Saturday 28 July 2012 </w:t>
      </w:r>
    </w:p>
    <w:p w14:paraId="68D78E0A" w14:textId="59372A83" w:rsidR="006652A4" w:rsidRPr="00FB1A25" w:rsidRDefault="006652A4" w:rsidP="006652A4">
      <w:pPr>
        <w:pStyle w:val="Heading2"/>
        <w:rPr>
          <w:rFonts w:eastAsia="Times New Roman"/>
          <w:color w:val="000000" w:themeColor="text1"/>
        </w:rPr>
      </w:pPr>
      <w:r w:rsidRPr="006652A4">
        <w:rPr>
          <w:rFonts w:eastAsia="Times New Roman"/>
          <w:color w:val="000000" w:themeColor="text1"/>
        </w:rPr>
        <w:t>Last Reviewed</w:t>
      </w:r>
    </w:p>
    <w:p w14:paraId="3070FEE9" w14:textId="7DAE4B66" w:rsidR="006652A4" w:rsidRPr="00FB1A25" w:rsidRDefault="006652A4" w:rsidP="006652A4">
      <w:pPr>
        <w:rPr>
          <w:rFonts w:eastAsia="Times New Roman"/>
          <w:color w:val="000000" w:themeColor="text1"/>
        </w:rPr>
      </w:pPr>
      <w:r w:rsidRPr="006652A4">
        <w:rPr>
          <w:rFonts w:eastAsia="Times New Roman"/>
          <w:color w:val="000000" w:themeColor="text1"/>
        </w:rPr>
        <w:t>14</w:t>
      </w:r>
      <w:r w:rsidRPr="00FB1A25">
        <w:rPr>
          <w:rFonts w:eastAsia="Times New Roman"/>
          <w:color w:val="000000" w:themeColor="text1"/>
        </w:rPr>
        <w:t xml:space="preserve"> </w:t>
      </w:r>
      <w:r w:rsidRPr="006652A4">
        <w:rPr>
          <w:rFonts w:eastAsia="Times New Roman"/>
          <w:color w:val="000000" w:themeColor="text1"/>
        </w:rPr>
        <w:t>April</w:t>
      </w:r>
      <w:r w:rsidRPr="00FB1A25">
        <w:rPr>
          <w:rFonts w:eastAsia="Times New Roman"/>
          <w:color w:val="000000" w:themeColor="text1"/>
        </w:rPr>
        <w:t xml:space="preserve"> 20</w:t>
      </w:r>
      <w:r w:rsidRPr="006652A4">
        <w:rPr>
          <w:rFonts w:eastAsia="Times New Roman"/>
          <w:color w:val="000000" w:themeColor="text1"/>
        </w:rPr>
        <w:t>23</w:t>
      </w:r>
    </w:p>
    <w:p w14:paraId="1D44A7FC" w14:textId="77777777" w:rsidR="006652A4" w:rsidRDefault="006652A4">
      <w:pPr>
        <w:rPr>
          <w:rFonts w:eastAsia="Times New Roman"/>
        </w:rPr>
      </w:pPr>
    </w:p>
    <w:sectPr w:rsidR="0066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7D6B"/>
    <w:multiLevelType w:val="multilevel"/>
    <w:tmpl w:val="A7B0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26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5C"/>
    <w:rsid w:val="0006165C"/>
    <w:rsid w:val="000C2884"/>
    <w:rsid w:val="0015487E"/>
    <w:rsid w:val="00260904"/>
    <w:rsid w:val="00272B5B"/>
    <w:rsid w:val="0058118E"/>
    <w:rsid w:val="0061045C"/>
    <w:rsid w:val="006652A4"/>
    <w:rsid w:val="00722489"/>
    <w:rsid w:val="00B37E93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C0ED2"/>
  <w15:chartTrackingRefBased/>
  <w15:docId w15:val="{E8628A8B-A011-4979-AFB0-CEF56FE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1045C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publications.org/doi/abs/10.1259/bjr/941017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B9F01-6399-4708-8335-E44E26448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9E463-95B2-4827-BB4C-AF2319EBBD98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201C3490-FD15-4588-9264-DEE722CC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REMEDIOS, Denis (LONDON NORTH WEST UNIVERSITY HEALTHCARE NHS TRUST)</dc:creator>
  <cp:keywords/>
  <dc:description/>
  <cp:lastModifiedBy>Tatiana Guinness</cp:lastModifiedBy>
  <cp:revision>6</cp:revision>
  <dcterms:created xsi:type="dcterms:W3CDTF">2024-10-23T10:23:00Z</dcterms:created>
  <dcterms:modified xsi:type="dcterms:W3CDTF">2024-11-06T15:43:00Z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