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8E9CB" w14:textId="7DF3A640" w:rsidR="004F3C1E" w:rsidRPr="004F3C1E" w:rsidRDefault="004F3C1E" w:rsidP="004F3C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  <w14:ligatures w14:val="none"/>
        </w:rPr>
      </w:pPr>
      <w:r w:rsidRPr="004F3C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  <w14:ligatures w14:val="none"/>
        </w:rPr>
        <w:t xml:space="preserve">Audit on the prevention of post-contrast acute kidney injury post contrast-enhanced </w:t>
      </w:r>
      <w:proofErr w:type="gramStart"/>
      <w:r w:rsidRPr="004F3C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  <w14:ligatures w14:val="none"/>
        </w:rPr>
        <w:t>CT</w:t>
      </w:r>
      <w:proofErr w:type="gramEnd"/>
    </w:p>
    <w:p w14:paraId="264DD4A2" w14:textId="77777777" w:rsidR="004F3C1E" w:rsidRPr="004F3C1E" w:rsidRDefault="004F3C1E" w:rsidP="004F3C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4F3C1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Descriptor</w:t>
      </w:r>
    </w:p>
    <w:p w14:paraId="12E3140F" w14:textId="77777777" w:rsidR="004F3C1E" w:rsidRPr="004F3C1E" w:rsidRDefault="004F3C1E" w:rsidP="004F3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F3C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Audit tool to ensure all patients are accurately risk assessed prior to contrast-enhanced computerised tomography (CECT) and renal protection regimens are implemented where appropriate.</w:t>
      </w:r>
    </w:p>
    <w:p w14:paraId="2C8548AF" w14:textId="77777777" w:rsidR="004F3C1E" w:rsidRPr="004F3C1E" w:rsidRDefault="004F3C1E" w:rsidP="004F3C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4F3C1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Background</w:t>
      </w:r>
    </w:p>
    <w:p w14:paraId="1042351F" w14:textId="77777777" w:rsidR="004F3C1E" w:rsidRPr="004F3C1E" w:rsidRDefault="004F3C1E" w:rsidP="004F3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F3C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Iodine-based contrast media (ICM), commonly used in contrast-enhanced computerised tomography (CECT), can lead to significant adverse drug reactions (ADRs), the most common of which is post-contrast acute kidney injury (PC-AKI).[1] Recent guidelines on the prevention of PC-AKI, including the RCR endorsed Royal Australian and New Zealand College of Radiologists’ (RANZCR) 2018 Iodinated Contrast Guidelines, includes updates to many key recommendations.[2] This audit can help ensure that local practices are based on current evidence.</w:t>
      </w:r>
    </w:p>
    <w:p w14:paraId="56FCAE0B" w14:textId="77777777" w:rsidR="004F3C1E" w:rsidRPr="004F3C1E" w:rsidRDefault="004F3C1E" w:rsidP="004F3C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4F3C1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The Cycle</w:t>
      </w:r>
    </w:p>
    <w:p w14:paraId="36ADB649" w14:textId="77777777" w:rsidR="004F3C1E" w:rsidRPr="004F3C1E" w:rsidRDefault="004F3C1E" w:rsidP="004F3C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4F3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The standard</w:t>
      </w:r>
    </w:p>
    <w:p w14:paraId="4136E3A3" w14:textId="77777777" w:rsidR="004F3C1E" w:rsidRPr="004F3C1E" w:rsidRDefault="004F3C1E" w:rsidP="004F3C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F3C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Prior to all non-emergency CECT: [2]</w:t>
      </w:r>
    </w:p>
    <w:p w14:paraId="71C7CB3D" w14:textId="77777777" w:rsidR="004F3C1E" w:rsidRPr="004F3C1E" w:rsidRDefault="004F3C1E" w:rsidP="004F3C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F3C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The patient should be assessed for known risk factors (kidney disease, diabetes, taking metformin). </w:t>
      </w:r>
    </w:p>
    <w:p w14:paraId="18CCDA00" w14:textId="77777777" w:rsidR="004F3C1E" w:rsidRPr="004F3C1E" w:rsidRDefault="004F3C1E" w:rsidP="004F3C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F3C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An up-to-date estimated glomerular filtration rate (eGFR) is required only if any risk factors are present. eGFRs are considered </w:t>
      </w:r>
      <w:proofErr w:type="gramStart"/>
      <w:r w:rsidRPr="004F3C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up-to-date</w:t>
      </w:r>
      <w:proofErr w:type="gramEnd"/>
      <w:r w:rsidRPr="004F3C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as long as clinical judgement finds it unlikely that the renal function has deteriorated significantly since then. </w:t>
      </w:r>
    </w:p>
    <w:p w14:paraId="05D3E8C7" w14:textId="77777777" w:rsidR="004F3C1E" w:rsidRPr="004F3C1E" w:rsidRDefault="004F3C1E" w:rsidP="004F3C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F3C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eGFR &lt;30 or &lt;45 and there is acutely deteriorating renal function, consider renal protection (first line = pre- and post-procedural 0.9% IV saline). </w:t>
      </w:r>
    </w:p>
    <w:p w14:paraId="2D95C54E" w14:textId="77777777" w:rsidR="004F3C1E" w:rsidRPr="004F3C1E" w:rsidRDefault="004F3C1E" w:rsidP="004F3C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F3C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Cease metformin 48h before CECT if eGFR &lt;30 or is unknown or have deteriorating renal function. </w:t>
      </w:r>
    </w:p>
    <w:p w14:paraId="65BEFEDA" w14:textId="77777777" w:rsidR="004F3C1E" w:rsidRPr="004F3C1E" w:rsidRDefault="004F3C1E" w:rsidP="004F3C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F3C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Non-anuric patients (producing &gt;100mL/day urine) on dialysis requires a consultation between their referring professional, renal physician, and/or radiologist. </w:t>
      </w:r>
    </w:p>
    <w:p w14:paraId="6B43CFE7" w14:textId="77777777" w:rsidR="004F3C1E" w:rsidRPr="004F3C1E" w:rsidRDefault="004F3C1E" w:rsidP="004F3C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F3C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Do not offer dose reduction.</w:t>
      </w:r>
    </w:p>
    <w:p w14:paraId="238BC18A" w14:textId="77777777" w:rsidR="004F3C1E" w:rsidRPr="004F3C1E" w:rsidRDefault="004F3C1E" w:rsidP="004F3C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4F3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Target</w:t>
      </w:r>
    </w:p>
    <w:p w14:paraId="438C7EE9" w14:textId="77777777" w:rsidR="004F3C1E" w:rsidRPr="004F3C1E" w:rsidRDefault="004F3C1E" w:rsidP="004F3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F3C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100% compliance for all standards.</w:t>
      </w:r>
    </w:p>
    <w:p w14:paraId="7FED77D3" w14:textId="77777777" w:rsidR="004F3C1E" w:rsidRPr="004F3C1E" w:rsidRDefault="004F3C1E" w:rsidP="004F3C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4F3C1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Assess local </w:t>
      </w:r>
      <w:proofErr w:type="gramStart"/>
      <w:r w:rsidRPr="004F3C1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practice</w:t>
      </w:r>
      <w:proofErr w:type="gramEnd"/>
    </w:p>
    <w:p w14:paraId="541AC8EC" w14:textId="77777777" w:rsidR="004F3C1E" w:rsidRPr="004F3C1E" w:rsidRDefault="004F3C1E" w:rsidP="004F3C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4F3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lastRenderedPageBreak/>
        <w:t>Indicators</w:t>
      </w:r>
    </w:p>
    <w:p w14:paraId="229AD589" w14:textId="77777777" w:rsidR="004F3C1E" w:rsidRPr="004F3C1E" w:rsidRDefault="004F3C1E" w:rsidP="004F3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F3C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 of records meeting the standards.</w:t>
      </w:r>
    </w:p>
    <w:p w14:paraId="28FEAD68" w14:textId="77777777" w:rsidR="004F3C1E" w:rsidRPr="004F3C1E" w:rsidRDefault="004F3C1E" w:rsidP="004F3C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4F3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Data items to be </w:t>
      </w:r>
      <w:proofErr w:type="gramStart"/>
      <w:r w:rsidRPr="004F3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collected</w:t>
      </w:r>
      <w:proofErr w:type="gramEnd"/>
    </w:p>
    <w:p w14:paraId="4D4F30F1" w14:textId="77777777" w:rsidR="004F3C1E" w:rsidRPr="004F3C1E" w:rsidRDefault="004F3C1E" w:rsidP="004F3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F3C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For each record:</w:t>
      </w:r>
    </w:p>
    <w:p w14:paraId="7215764C" w14:textId="77777777" w:rsidR="004F3C1E" w:rsidRPr="004F3C1E" w:rsidRDefault="004F3C1E" w:rsidP="004F3C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F3C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Whether the patient was assessed for risk factors</w:t>
      </w:r>
    </w:p>
    <w:p w14:paraId="3C683F44" w14:textId="77777777" w:rsidR="004F3C1E" w:rsidRPr="004F3C1E" w:rsidRDefault="004F3C1E" w:rsidP="004F3C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F3C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Whether an </w:t>
      </w:r>
      <w:proofErr w:type="gramStart"/>
      <w:r w:rsidRPr="004F3C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up-to-date</w:t>
      </w:r>
      <w:proofErr w:type="gramEnd"/>
      <w:r w:rsidRPr="004F3C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eGFR was provided in patients with risk factors present</w:t>
      </w:r>
    </w:p>
    <w:p w14:paraId="064FDEB6" w14:textId="77777777" w:rsidR="004F3C1E" w:rsidRPr="004F3C1E" w:rsidRDefault="004F3C1E" w:rsidP="004F3C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F3C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an eGFR was obtained for the CECT, whether this was appropriate (i.e. patient had risk factors) </w:t>
      </w:r>
    </w:p>
    <w:p w14:paraId="411F98C6" w14:textId="77777777" w:rsidR="004F3C1E" w:rsidRPr="004F3C1E" w:rsidRDefault="004F3C1E" w:rsidP="004F3C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F3C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Was renal protection given. If yes, was this appropriate (i.e. met eGFR requirements) and was the recommended first line strategy </w:t>
      </w:r>
      <w:proofErr w:type="gramStart"/>
      <w:r w:rsidRPr="004F3C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followed</w:t>
      </w:r>
      <w:proofErr w:type="gramEnd"/>
    </w:p>
    <w:p w14:paraId="7434C7A8" w14:textId="77777777" w:rsidR="004F3C1E" w:rsidRPr="004F3C1E" w:rsidRDefault="004F3C1E" w:rsidP="004F3C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F3C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patient was on metformin, was this ceased in time. If yes, was this appropriate.</w:t>
      </w:r>
    </w:p>
    <w:p w14:paraId="27DC6F2B" w14:textId="77777777" w:rsidR="004F3C1E" w:rsidRPr="004F3C1E" w:rsidRDefault="004F3C1E" w:rsidP="004F3C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F3C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If the patient was non-anuric and on dialysis, did a consultation between their referring professional, renal physician, and/or radiologist occur and have been documented in patient notes and radiology </w:t>
      </w:r>
      <w:proofErr w:type="gramStart"/>
      <w:r w:rsidRPr="004F3C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system</w:t>
      </w:r>
      <w:proofErr w:type="gramEnd"/>
    </w:p>
    <w:p w14:paraId="4EA19744" w14:textId="77777777" w:rsidR="004F3C1E" w:rsidRPr="004F3C1E" w:rsidRDefault="004F3C1E" w:rsidP="004F3C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F3C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Whether dose reduction was offered.</w:t>
      </w:r>
    </w:p>
    <w:p w14:paraId="2834F2F5" w14:textId="77777777" w:rsidR="004F3C1E" w:rsidRPr="004F3C1E" w:rsidRDefault="004F3C1E" w:rsidP="004F3C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4F3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Suggested </w:t>
      </w:r>
      <w:proofErr w:type="gramStart"/>
      <w:r w:rsidRPr="004F3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number</w:t>
      </w:r>
      <w:proofErr w:type="gramEnd"/>
    </w:p>
    <w:p w14:paraId="12596006" w14:textId="77777777" w:rsidR="004F3C1E" w:rsidRPr="004F3C1E" w:rsidRDefault="004F3C1E" w:rsidP="004F3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F3C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Retrospective review of the patient notes and radiology records of 30 each consecutive outpatients and inpatients attending for non-emergency CECT.</w:t>
      </w:r>
    </w:p>
    <w:p w14:paraId="09C57071" w14:textId="77777777" w:rsidR="004F3C1E" w:rsidRPr="004F3C1E" w:rsidRDefault="004F3C1E" w:rsidP="004F3C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4F3C1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Suggestions for change if target not </w:t>
      </w:r>
      <w:proofErr w:type="gramStart"/>
      <w:r w:rsidRPr="004F3C1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met</w:t>
      </w:r>
      <w:proofErr w:type="gramEnd"/>
    </w:p>
    <w:p w14:paraId="7677639B" w14:textId="77777777" w:rsidR="004F3C1E" w:rsidRPr="004F3C1E" w:rsidRDefault="004F3C1E" w:rsidP="004F3C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F3C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Ensure the department develops a written renal protection protocol for CECT based on up-to-date guidelines (i.e. RCR endorsed RANZCR 2018 guidelines). [2] </w:t>
      </w:r>
    </w:p>
    <w:p w14:paraId="5D35393A" w14:textId="77777777" w:rsidR="004F3C1E" w:rsidRPr="004F3C1E" w:rsidRDefault="004F3C1E" w:rsidP="004F3C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F3C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Implement a checklist of recommended RFs as a part of the electronic request, which when filled in will advise whether the patient requires an </w:t>
      </w:r>
      <w:proofErr w:type="gramStart"/>
      <w:r w:rsidRPr="004F3C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up-to-date</w:t>
      </w:r>
      <w:proofErr w:type="gramEnd"/>
      <w:r w:rsidRPr="004F3C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eGFR prior to ICM administration. </w:t>
      </w:r>
    </w:p>
    <w:p w14:paraId="5DE15317" w14:textId="77777777" w:rsidR="004F3C1E" w:rsidRPr="004F3C1E" w:rsidRDefault="004F3C1E" w:rsidP="004F3C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F3C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Engage local nephrology team. </w:t>
      </w:r>
    </w:p>
    <w:p w14:paraId="283D7E36" w14:textId="77777777" w:rsidR="004F3C1E" w:rsidRPr="004F3C1E" w:rsidRDefault="004F3C1E" w:rsidP="004F3C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F3C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Engage and inform referrers from primary and secondary care about the protocol change.</w:t>
      </w:r>
    </w:p>
    <w:p w14:paraId="5A1FA3D3" w14:textId="77777777" w:rsidR="004F3C1E" w:rsidRPr="004F3C1E" w:rsidRDefault="004F3C1E" w:rsidP="004F3C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4F3C1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References</w:t>
      </w:r>
    </w:p>
    <w:p w14:paraId="0ADCB710" w14:textId="77777777" w:rsidR="004F3C1E" w:rsidRPr="004F3C1E" w:rsidRDefault="004F3C1E" w:rsidP="004F3C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F3C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McDonald JS, McDonald RJ, Comin J, et al. Frequency of acute kidney injury following intravenous contrast medium administration: a systematic review and meta-analysis. Radiology 2013;267(1):119–28. </w:t>
      </w:r>
      <w:hyperlink r:id="rId5" w:tgtFrame="_top" w:history="1">
        <w:r w:rsidRPr="004F3C1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https://doi.org/10.1148/radiol.12121460</w:t>
        </w:r>
      </w:hyperlink>
      <w:r w:rsidRPr="004F3C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50679962" w14:textId="77777777" w:rsidR="004F3C1E" w:rsidRPr="004F3C1E" w:rsidRDefault="004F3C1E" w:rsidP="004F3C1E">
      <w:pPr>
        <w:numPr>
          <w:ilvl w:val="0"/>
          <w:numId w:val="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F3C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RANZCR. The Royal Australian and New Zealand College of Radiologists (2018) Iodinated Contrast Media Guideline 2018.</w:t>
      </w:r>
    </w:p>
    <w:p w14:paraId="317423C3" w14:textId="77777777" w:rsidR="004F3C1E" w:rsidRPr="004F3C1E" w:rsidRDefault="004F3C1E" w:rsidP="004F3C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4F3C1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Co-authors</w:t>
      </w:r>
    </w:p>
    <w:p w14:paraId="4F8CBD8A" w14:textId="77777777" w:rsidR="004F3C1E" w:rsidRPr="004F3C1E" w:rsidRDefault="004F3C1E" w:rsidP="004F3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F3C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Magdalena Szewczyk-Bieda, Rebecca Greenhalgh, Karl Drinkwater</w:t>
      </w:r>
    </w:p>
    <w:p w14:paraId="65503ED5" w14:textId="77777777" w:rsidR="004F3C1E" w:rsidRPr="004F3C1E" w:rsidRDefault="004F3C1E" w:rsidP="004F3C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4F3C1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lastRenderedPageBreak/>
        <w:t>Submitted by</w:t>
      </w:r>
    </w:p>
    <w:p w14:paraId="52875A34" w14:textId="77777777" w:rsidR="004F3C1E" w:rsidRPr="004F3C1E" w:rsidRDefault="004F3C1E" w:rsidP="004F3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F3C1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YiFan Jia</w:t>
      </w:r>
    </w:p>
    <w:p w14:paraId="72BF08CF" w14:textId="77777777" w:rsidR="00934E7D" w:rsidRDefault="00934E7D"/>
    <w:sectPr w:rsidR="00934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F77FF"/>
    <w:multiLevelType w:val="multilevel"/>
    <w:tmpl w:val="62FE3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3952D4"/>
    <w:multiLevelType w:val="multilevel"/>
    <w:tmpl w:val="9C0E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A13D91"/>
    <w:multiLevelType w:val="multilevel"/>
    <w:tmpl w:val="6990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79135B"/>
    <w:multiLevelType w:val="multilevel"/>
    <w:tmpl w:val="59569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5840284">
    <w:abstractNumId w:val="0"/>
  </w:num>
  <w:num w:numId="2" w16cid:durableId="468941028">
    <w:abstractNumId w:val="1"/>
  </w:num>
  <w:num w:numId="3" w16cid:durableId="2003510488">
    <w:abstractNumId w:val="2"/>
  </w:num>
  <w:num w:numId="4" w16cid:durableId="5327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1E"/>
    <w:rsid w:val="004F3C1E"/>
    <w:rsid w:val="0093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9E4B3"/>
  <w15:chartTrackingRefBased/>
  <w15:docId w15:val="{372B4DE8-EB66-4019-ABE8-3EDAF24A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3C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4F3C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4F3C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4F3C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C1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F3C1E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F3C1E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4F3C1E"/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F3C1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F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6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5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5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21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44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53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5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1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74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48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5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52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6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73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3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63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148/radiol.121214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Smith</dc:creator>
  <cp:keywords/>
  <dc:description/>
  <cp:lastModifiedBy>Daniel Smith</cp:lastModifiedBy>
  <cp:revision>1</cp:revision>
  <dcterms:created xsi:type="dcterms:W3CDTF">2024-02-06T15:29:00Z</dcterms:created>
  <dcterms:modified xsi:type="dcterms:W3CDTF">2024-02-06T15:29:00Z</dcterms:modified>
</cp:coreProperties>
</file>