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6315" w14:textId="77777777" w:rsidR="006F12F6" w:rsidRDefault="006F12F6" w:rsidP="006F12F6">
      <w:pPr>
        <w:pStyle w:val="Heading1"/>
        <w:shd w:val="clear" w:color="auto" w:fill="FFFFFF"/>
        <w:spacing w:before="0" w:beforeAutospacing="0" w:after="225" w:afterAutospacing="0"/>
        <w:rPr>
          <w:rFonts w:ascii="Arial" w:hAnsi="Arial" w:cs="Arial"/>
          <w:color w:val="007CBE"/>
          <w:spacing w:val="-15"/>
          <w:sz w:val="50"/>
          <w:szCs w:val="50"/>
        </w:rPr>
      </w:pPr>
      <w:r>
        <w:rPr>
          <w:rFonts w:ascii="Arial" w:hAnsi="Arial" w:cs="Arial"/>
          <w:color w:val="007CBE"/>
          <w:spacing w:val="-15"/>
          <w:sz w:val="50"/>
          <w:szCs w:val="50"/>
        </w:rPr>
        <w:t>Orchestrating Timely Check Cystoscopy after Radical Radiotherapy to the Bladder</w:t>
      </w:r>
    </w:p>
    <w:p w14:paraId="57F111CE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Descriptor: </w:t>
      </w:r>
    </w:p>
    <w:p w14:paraId="5644F9E8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An audit template to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acsertain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number of patients undergoing check cystoscopy within a specific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time period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after radiotherapy.</w:t>
      </w:r>
    </w:p>
    <w:p w14:paraId="2F340C9A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Background: </w:t>
      </w:r>
    </w:p>
    <w:p w14:paraId="7AD4492F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Patients treated radically for muscle invasive bladder cancer have a high risk of recurrence. For those who have undergone radical radiotherapy (RT), post-RT cystoscopy facilitates prompt surgical salvage if appropriate. Appropriate timing of post-RT cystoscopy requires careful and timely communication between centre providing RT and peripheral urology services.</w:t>
      </w:r>
    </w:p>
    <w:p w14:paraId="3D0876BA" w14:textId="77777777" w:rsidR="006F12F6" w:rsidRDefault="006F12F6" w:rsidP="006F12F6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>The Cycle</w:t>
      </w:r>
    </w:p>
    <w:p w14:paraId="08BF91B8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The standard: </w:t>
      </w:r>
    </w:p>
    <w:p w14:paraId="3845F2A5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NICE guidelines advocate rigid cystoscopy within 3 months of completion of RT. (1)</w:t>
      </w:r>
    </w:p>
    <w:p w14:paraId="6E7A839F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</w:t>
      </w:r>
    </w:p>
    <w:p w14:paraId="6D18693D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Target: </w:t>
      </w:r>
    </w:p>
    <w:p w14:paraId="5C8A3A60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All patients should undergo cystoscopy within 3 months of end of RT, unless evident why not indicated or unable to be performed within this time.</w:t>
      </w:r>
    </w:p>
    <w:p w14:paraId="3DEE6066" w14:textId="77777777" w:rsidR="006F12F6" w:rsidRDefault="006F12F6" w:rsidP="006F12F6">
      <w:pPr>
        <w:pStyle w:val="Heading2"/>
        <w:shd w:val="clear" w:color="auto" w:fill="FFFFFF"/>
        <w:spacing w:before="0" w:after="180"/>
        <w:rPr>
          <w:rFonts w:ascii="Arial" w:hAnsi="Arial" w:cs="Arial"/>
          <w:color w:val="007CBE"/>
          <w:sz w:val="36"/>
          <w:szCs w:val="36"/>
        </w:rPr>
      </w:pPr>
      <w:r>
        <w:rPr>
          <w:rFonts w:ascii="Arial" w:hAnsi="Arial" w:cs="Arial"/>
          <w:color w:val="007CBE"/>
        </w:rPr>
        <w:t xml:space="preserve">Assess local </w:t>
      </w:r>
      <w:proofErr w:type="gramStart"/>
      <w:r>
        <w:rPr>
          <w:rFonts w:ascii="Arial" w:hAnsi="Arial" w:cs="Arial"/>
          <w:color w:val="007CBE"/>
        </w:rPr>
        <w:t>practice</w:t>
      </w:r>
      <w:proofErr w:type="gramEnd"/>
    </w:p>
    <w:p w14:paraId="7CF4F5A1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Indicators: </w:t>
      </w:r>
    </w:p>
    <w:p w14:paraId="5C8013C1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As above.</w:t>
      </w:r>
    </w:p>
    <w:p w14:paraId="3882AD1A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All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patient</w:t>
      </w:r>
      <w:proofErr w:type="gramEnd"/>
      <w:r>
        <w:rPr>
          <w:rFonts w:ascii="Arial" w:hAnsi="Arial" w:cs="Arial"/>
          <w:color w:val="343434"/>
          <w:sz w:val="23"/>
          <w:szCs w:val="23"/>
        </w:rPr>
        <w:t xml:space="preserve"> should also have end-of-treatment letters sent to peripheral urology services, generated within 14 days of completion of RT.</w:t>
      </w:r>
    </w:p>
    <w:p w14:paraId="08379E0F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Data items to be collected: </w:t>
      </w:r>
    </w:p>
    <w:p w14:paraId="58B7503B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1. Radiotherapy department supply list of all patients who underwent radical radiotherapy to the bladder in given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time period</w:t>
      </w:r>
      <w:proofErr w:type="gramEnd"/>
      <w:r>
        <w:rPr>
          <w:rFonts w:ascii="Arial" w:hAnsi="Arial" w:cs="Arial"/>
          <w:color w:val="343434"/>
          <w:sz w:val="23"/>
          <w:szCs w:val="23"/>
        </w:rPr>
        <w:t>.</w:t>
      </w:r>
    </w:p>
    <w:p w14:paraId="0B8DDCC6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2. Hospital electronic notes checked to establish:</w:t>
      </w:r>
    </w:p>
    <w:p w14:paraId="5C5B5CA3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- Which peripheral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peripheral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urology clinic patient was referred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from;</w:t>
      </w:r>
      <w:proofErr w:type="gramEnd"/>
    </w:p>
    <w:p w14:paraId="37FDC8B5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- End date of 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RT;</w:t>
      </w:r>
      <w:proofErr w:type="gramEnd"/>
    </w:p>
    <w:p w14:paraId="1E09AC63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lastRenderedPageBreak/>
        <w:t>- Date end-of-treatment letter typed (and also dictated if available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);</w:t>
      </w:r>
      <w:proofErr w:type="gramEnd"/>
    </w:p>
    <w:p w14:paraId="74270344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If patient died before first cystoscopy was due, or if there were other reasons evident for not having the first cystoscopy on time or at all.</w:t>
      </w:r>
    </w:p>
    <w:p w14:paraId="17B5357A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3. Lead urologist or clinical nurse specialist at peripheral urology service (usually NHS trust) emailed with list of patients they referred and RT end date, asking:</w:t>
      </w:r>
    </w:p>
    <w:p w14:paraId="1DD140D8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Date underwent first cystoscopy post-</w:t>
      </w:r>
      <w:proofErr w:type="gramStart"/>
      <w:r>
        <w:rPr>
          <w:rFonts w:ascii="Arial" w:hAnsi="Arial" w:cs="Arial"/>
          <w:color w:val="343434"/>
          <w:sz w:val="23"/>
          <w:szCs w:val="23"/>
        </w:rPr>
        <w:t>RT;</w:t>
      </w:r>
      <w:proofErr w:type="gramEnd"/>
    </w:p>
    <w:p w14:paraId="7FB168CB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- If &gt;3 months after RT, to supply a reason for delay if possible.</w:t>
      </w:r>
    </w:p>
    <w:p w14:paraId="540E3B24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 </w:t>
      </w:r>
    </w:p>
    <w:p w14:paraId="40FFB69C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Suggested number: </w:t>
      </w:r>
    </w:p>
    <w:p w14:paraId="2D0D530B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This depends on how many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peripheal</w:t>
      </w:r>
      <w:proofErr w:type="spellEnd"/>
      <w:r>
        <w:rPr>
          <w:rFonts w:ascii="Arial" w:hAnsi="Arial" w:cs="Arial"/>
          <w:color w:val="343434"/>
          <w:sz w:val="23"/>
          <w:szCs w:val="23"/>
        </w:rPr>
        <w:t xml:space="preserve"> urology clinics refer to RT centre. More patients are required if there are more referring centres to ensure at least a handful of patients are audited from each urology centre.</w:t>
      </w:r>
    </w:p>
    <w:p w14:paraId="733794B3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Suggestions for change if target not met: </w:t>
      </w:r>
    </w:p>
    <w:p w14:paraId="365090B6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This will be specific to each radiotherapy department and urology network.</w:t>
      </w:r>
    </w:p>
    <w:p w14:paraId="4BCC6F5B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In our experience, delays can be due to a combination of reasons to do with the RT centre and peripheral urology clinic, and we suggest examining each in turn.</w:t>
      </w:r>
    </w:p>
    <w:p w14:paraId="7CD8DCB5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Measures such as standard end-of-treatment letters can cut down administration time at RT centre. Also, contacting urology centre with date cystoscopy required at time of RT booking allows more time to organise cystoscopy.</w:t>
      </w:r>
    </w:p>
    <w:p w14:paraId="2698061D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We found discussion at local urology network meeting useful, as local urology services will operate under different models.</w:t>
      </w:r>
    </w:p>
    <w:p w14:paraId="312F51D7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 xml:space="preserve">One suggestion was to introduce dedicated </w:t>
      </w:r>
      <w:proofErr w:type="spellStart"/>
      <w:r>
        <w:rPr>
          <w:rFonts w:ascii="Arial" w:hAnsi="Arial" w:cs="Arial"/>
          <w:color w:val="343434"/>
          <w:sz w:val="23"/>
          <w:szCs w:val="23"/>
        </w:rPr>
        <w:t>uro</w:t>
      </w:r>
      <w:proofErr w:type="spellEnd"/>
      <w:r>
        <w:rPr>
          <w:rFonts w:ascii="Arial" w:hAnsi="Arial" w:cs="Arial"/>
          <w:color w:val="343434"/>
          <w:sz w:val="23"/>
          <w:szCs w:val="23"/>
        </w:rPr>
        <w:t>-oncology cystoscopy lists, another was to generate a specific email address for each urology service for RT administration staff to send 'date cystoscopy required' email to at time of RT booking.</w:t>
      </w:r>
    </w:p>
    <w:p w14:paraId="7F636DA2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Resources: </w:t>
      </w:r>
    </w:p>
    <w:p w14:paraId="2471D976" w14:textId="77777777" w:rsidR="006F12F6" w:rsidRDefault="006F12F6" w:rsidP="006F12F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No specific resources other than those mentioned above.</w:t>
      </w:r>
    </w:p>
    <w:p w14:paraId="3EB05637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References: </w:t>
      </w:r>
    </w:p>
    <w:p w14:paraId="0DE8475D" w14:textId="77777777" w:rsidR="006F12F6" w:rsidRDefault="006F12F6" w:rsidP="006F12F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 w:line="312" w:lineRule="atLeast"/>
        <w:ind w:left="1020"/>
        <w:rPr>
          <w:rFonts w:ascii="Arial" w:hAnsi="Arial" w:cs="Arial"/>
          <w:color w:val="343434"/>
          <w:sz w:val="23"/>
          <w:szCs w:val="23"/>
        </w:rPr>
      </w:pPr>
      <w:hyperlink r:id="rId5" w:tgtFrame="_blank" w:history="1">
        <w:r>
          <w:rPr>
            <w:rStyle w:val="Hyperlink"/>
            <w:rFonts w:ascii="Arial" w:hAnsi="Arial" w:cs="Arial"/>
            <w:color w:val="007CBE"/>
            <w:sz w:val="23"/>
            <w:szCs w:val="23"/>
          </w:rPr>
          <w:t>https://www.nice.org.uk/guidance/ng2</w:t>
        </w:r>
      </w:hyperlink>
      <w:r>
        <w:rPr>
          <w:rFonts w:ascii="Arial" w:hAnsi="Arial" w:cs="Arial"/>
          <w:color w:val="343434"/>
          <w:sz w:val="23"/>
          <w:szCs w:val="23"/>
        </w:rPr>
        <w:t> (accessed 17/02/2016</w:t>
      </w:r>
    </w:p>
    <w:p w14:paraId="230663EC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t>Submitted by: </w:t>
      </w:r>
    </w:p>
    <w:p w14:paraId="473423DC" w14:textId="77777777" w:rsidR="006F12F6" w:rsidRDefault="006F12F6" w:rsidP="006F12F6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Dr Richard Walshaw</w:t>
      </w:r>
    </w:p>
    <w:p w14:paraId="36508192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  <w:r>
        <w:rPr>
          <w:rFonts w:ascii="Arial" w:hAnsi="Arial" w:cs="Arial"/>
          <w:b/>
          <w:bCs/>
          <w:color w:val="00467F"/>
          <w:sz w:val="32"/>
          <w:szCs w:val="32"/>
        </w:rPr>
        <w:lastRenderedPageBreak/>
        <w:t>Co-authors: </w:t>
      </w:r>
    </w:p>
    <w:p w14:paraId="49877EED" w14:textId="77777777" w:rsidR="006F12F6" w:rsidRDefault="006F12F6" w:rsidP="006F12F6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Fonts w:ascii="Arial" w:hAnsi="Arial" w:cs="Arial"/>
          <w:color w:val="343434"/>
          <w:sz w:val="23"/>
          <w:szCs w:val="23"/>
        </w:rPr>
        <w:t>Dr Tony Elliott</w:t>
      </w:r>
    </w:p>
    <w:p w14:paraId="6E1D2F79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Published Date: </w:t>
      </w:r>
    </w:p>
    <w:p w14:paraId="70B32BF1" w14:textId="77777777" w:rsidR="006F12F6" w:rsidRDefault="006F12F6" w:rsidP="006F12F6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Saturday 14 March 2020</w:t>
      </w:r>
    </w:p>
    <w:p w14:paraId="24A9A77A" w14:textId="77777777" w:rsidR="006F12F6" w:rsidRDefault="006F12F6" w:rsidP="006F12F6">
      <w:pPr>
        <w:rPr>
          <w:rFonts w:ascii="Times New Roman" w:hAnsi="Times New Roman" w:cs="Times New Roman"/>
          <w:sz w:val="24"/>
          <w:szCs w:val="24"/>
        </w:rPr>
      </w:pPr>
    </w:p>
    <w:p w14:paraId="1B8AAE97" w14:textId="77777777" w:rsidR="006F12F6" w:rsidRDefault="006F12F6" w:rsidP="006F12F6">
      <w:pPr>
        <w:shd w:val="clear" w:color="auto" w:fill="FFFFFF"/>
        <w:rPr>
          <w:rFonts w:ascii="Arial" w:hAnsi="Arial" w:cs="Arial"/>
          <w:b/>
          <w:bCs/>
          <w:color w:val="007CBE"/>
          <w:sz w:val="23"/>
          <w:szCs w:val="23"/>
        </w:rPr>
      </w:pPr>
      <w:r>
        <w:rPr>
          <w:rFonts w:ascii="Arial" w:hAnsi="Arial" w:cs="Arial"/>
          <w:b/>
          <w:bCs/>
          <w:color w:val="007CBE"/>
          <w:sz w:val="23"/>
          <w:szCs w:val="23"/>
        </w:rPr>
        <w:t>Last Reviewed: </w:t>
      </w:r>
    </w:p>
    <w:p w14:paraId="3258A455" w14:textId="77777777" w:rsidR="006F12F6" w:rsidRDefault="006F12F6" w:rsidP="006F12F6">
      <w:pPr>
        <w:shd w:val="clear" w:color="auto" w:fill="FFFFFF"/>
        <w:rPr>
          <w:rFonts w:ascii="Arial" w:hAnsi="Arial" w:cs="Arial"/>
          <w:color w:val="343434"/>
          <w:sz w:val="23"/>
          <w:szCs w:val="23"/>
        </w:rPr>
      </w:pPr>
      <w:r>
        <w:rPr>
          <w:rStyle w:val="date-display-single"/>
          <w:rFonts w:ascii="Arial" w:hAnsi="Arial" w:cs="Arial"/>
          <w:color w:val="343434"/>
          <w:sz w:val="23"/>
          <w:szCs w:val="23"/>
        </w:rPr>
        <w:t>Friday 22 May 2020</w:t>
      </w:r>
    </w:p>
    <w:p w14:paraId="7C0A2111" w14:textId="7BBE8B40" w:rsidR="000D3E1E" w:rsidRDefault="000D3E1E" w:rsidP="006F12F6">
      <w:pPr>
        <w:shd w:val="clear" w:color="auto" w:fill="FFFFFF"/>
        <w:rPr>
          <w:rFonts w:ascii="Arial" w:hAnsi="Arial" w:cs="Arial"/>
          <w:b/>
          <w:bCs/>
          <w:color w:val="00467F"/>
          <w:sz w:val="32"/>
          <w:szCs w:val="32"/>
        </w:rPr>
      </w:pPr>
    </w:p>
    <w:sectPr w:rsidR="000D3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23357"/>
    <w:multiLevelType w:val="multilevel"/>
    <w:tmpl w:val="9EFA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187EB0"/>
    <w:multiLevelType w:val="multilevel"/>
    <w:tmpl w:val="ED0A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5912503">
    <w:abstractNumId w:val="1"/>
  </w:num>
  <w:num w:numId="2" w16cid:durableId="19715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E"/>
    <w:rsid w:val="000D3E1E"/>
    <w:rsid w:val="00194E7C"/>
    <w:rsid w:val="001D3DCA"/>
    <w:rsid w:val="006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5C88"/>
  <w15:chartTrackingRefBased/>
  <w15:docId w15:val="{CF3561D1-D83D-467D-BC12-2D755FAE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E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1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E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D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file-wrapper">
    <w:name w:val="file-wrapper"/>
    <w:basedOn w:val="DefaultParagraphFont"/>
    <w:rsid w:val="000D3E1E"/>
  </w:style>
  <w:style w:type="character" w:styleId="Hyperlink">
    <w:name w:val="Hyperlink"/>
    <w:basedOn w:val="DefaultParagraphFont"/>
    <w:uiPriority w:val="99"/>
    <w:semiHidden/>
    <w:unhideWhenUsed/>
    <w:rsid w:val="000D3E1E"/>
    <w:rPr>
      <w:color w:val="0000FF"/>
      <w:u w:val="single"/>
    </w:rPr>
  </w:style>
  <w:style w:type="character" w:customStyle="1" w:styleId="file-meta">
    <w:name w:val="file-meta"/>
    <w:basedOn w:val="DefaultParagraphFont"/>
    <w:rsid w:val="000D3E1E"/>
  </w:style>
  <w:style w:type="character" w:customStyle="1" w:styleId="file-type">
    <w:name w:val="file-type"/>
    <w:basedOn w:val="DefaultParagraphFont"/>
    <w:rsid w:val="000D3E1E"/>
  </w:style>
  <w:style w:type="character" w:customStyle="1" w:styleId="file-size">
    <w:name w:val="file-size"/>
    <w:basedOn w:val="DefaultParagraphFont"/>
    <w:rsid w:val="000D3E1E"/>
  </w:style>
  <w:style w:type="character" w:customStyle="1" w:styleId="date-display-single">
    <w:name w:val="date-display-single"/>
    <w:basedOn w:val="DefaultParagraphFont"/>
    <w:rsid w:val="000D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13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083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754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7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06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518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55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19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8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59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6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300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279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3323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3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ce.org.uk/guidance/ng2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5" ma:contentTypeDescription="Create a new document." ma:contentTypeScope="" ma:versionID="55333fccc9f88f3ecd7cc02b0fe97f9c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90b37e3419317c12742b60d7a75f511e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oice xmlns="6554f0f3-0605-4421-b410-d212dd1c837f" xsi:nil="true"/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  <SharedWithUsers xmlns="3fb4b005-a1e9-415f-95e8-b72bee4e82f5">
      <UserInfo>
        <DisplayName/>
        <AccountId xsi:nil="true"/>
        <AccountType/>
      </UserInfo>
    </SharedWithUsers>
    <MediaLengthInSeconds xmlns="6554f0f3-0605-4421-b410-d212dd1c837f" xsi:nil="true"/>
  </documentManagement>
</p:properties>
</file>

<file path=customXml/itemProps1.xml><?xml version="1.0" encoding="utf-8"?>
<ds:datastoreItem xmlns:ds="http://schemas.openxmlformats.org/officeDocument/2006/customXml" ds:itemID="{CDC51782-0206-41C1-9F33-5B2B2FC5A4FD}"/>
</file>

<file path=customXml/itemProps2.xml><?xml version="1.0" encoding="utf-8"?>
<ds:datastoreItem xmlns:ds="http://schemas.openxmlformats.org/officeDocument/2006/customXml" ds:itemID="{0A91316B-CDEE-48B1-8FBD-DE5F9FAF0319}"/>
</file>

<file path=customXml/itemProps3.xml><?xml version="1.0" encoding="utf-8"?>
<ds:datastoreItem xmlns:ds="http://schemas.openxmlformats.org/officeDocument/2006/customXml" ds:itemID="{99C5316D-964A-4BA1-B6D7-CA13F74C7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Leslie</dc:creator>
  <cp:keywords/>
  <dc:description/>
  <cp:lastModifiedBy>Katie Leslie</cp:lastModifiedBy>
  <cp:revision>3</cp:revision>
  <dcterms:created xsi:type="dcterms:W3CDTF">2023-10-05T14:15:00Z</dcterms:created>
  <dcterms:modified xsi:type="dcterms:W3CDTF">2023-10-05T15:48:00Z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Order">
    <vt:r8>258879000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